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59D12" w14:textId="77777777" w:rsidR="00C953F9" w:rsidRDefault="00C953F9" w:rsidP="00C953F9">
      <w:pPr>
        <w:jc w:val="center"/>
        <w:rPr>
          <w:rFonts w:ascii="Times New Roman" w:hAnsi="Times New Roman" w:cs="Times New Roman"/>
        </w:rPr>
      </w:pPr>
    </w:p>
    <w:p w14:paraId="0DAB8DBA" w14:textId="6A0CCB92" w:rsidR="00C953F9" w:rsidRPr="00C953F9" w:rsidRDefault="00C953F9" w:rsidP="00C953F9">
      <w:pPr>
        <w:jc w:val="center"/>
        <w:rPr>
          <w:rFonts w:ascii="Times New Roman" w:hAnsi="Times New Roman" w:cs="Times New Roman"/>
        </w:rPr>
      </w:pPr>
      <w:r w:rsidRPr="00E25AA9">
        <w:rPr>
          <w:noProof/>
          <w:sz w:val="18"/>
          <w:szCs w:val="18"/>
        </w:rPr>
        <w:drawing>
          <wp:inline distT="0" distB="0" distL="0" distR="0" wp14:anchorId="319B392D" wp14:editId="7C72AFFD">
            <wp:extent cx="3705225" cy="739775"/>
            <wp:effectExtent l="0" t="0" r="9525" b="3175"/>
            <wp:docPr id="138328853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02E83" w14:textId="77777777" w:rsidR="00C953F9" w:rsidRDefault="00C953F9" w:rsidP="00C953F9">
      <w:pPr>
        <w:jc w:val="center"/>
        <w:rPr>
          <w:rFonts w:ascii="Times New Roman" w:hAnsi="Times New Roman" w:cs="Times New Roman"/>
          <w:b/>
          <w:bCs/>
        </w:rPr>
      </w:pPr>
    </w:p>
    <w:p w14:paraId="4301A66B" w14:textId="77777777" w:rsidR="00C953F9" w:rsidRDefault="00C953F9" w:rsidP="00C953F9">
      <w:pPr>
        <w:jc w:val="center"/>
        <w:rPr>
          <w:rFonts w:ascii="Times New Roman" w:hAnsi="Times New Roman" w:cs="Times New Roman"/>
          <w:b/>
          <w:bCs/>
        </w:rPr>
      </w:pPr>
    </w:p>
    <w:p w14:paraId="6BAF8BED" w14:textId="77777777" w:rsidR="00C953F9" w:rsidRDefault="00C953F9" w:rsidP="00C953F9">
      <w:pPr>
        <w:jc w:val="center"/>
        <w:rPr>
          <w:rFonts w:ascii="Times New Roman" w:hAnsi="Times New Roman" w:cs="Times New Roman"/>
          <w:b/>
          <w:bCs/>
        </w:rPr>
      </w:pPr>
    </w:p>
    <w:p w14:paraId="7CD2C261" w14:textId="77777777" w:rsidR="00C953F9" w:rsidRDefault="00C953F9" w:rsidP="00C953F9">
      <w:pPr>
        <w:rPr>
          <w:rFonts w:ascii="Times New Roman" w:hAnsi="Times New Roman" w:cs="Times New Roman"/>
          <w:b/>
          <w:bCs/>
        </w:rPr>
      </w:pPr>
    </w:p>
    <w:p w14:paraId="61099050" w14:textId="77777777" w:rsidR="00C953F9" w:rsidRDefault="00C953F9" w:rsidP="00C953F9">
      <w:pPr>
        <w:jc w:val="center"/>
        <w:rPr>
          <w:rFonts w:ascii="Times New Roman" w:hAnsi="Times New Roman" w:cs="Times New Roman"/>
          <w:b/>
          <w:bCs/>
        </w:rPr>
      </w:pPr>
    </w:p>
    <w:p w14:paraId="568E3244" w14:textId="77777777" w:rsidR="00C953F9" w:rsidRDefault="00C953F9" w:rsidP="00C953F9">
      <w:pPr>
        <w:jc w:val="center"/>
        <w:rPr>
          <w:rFonts w:ascii="Times New Roman" w:hAnsi="Times New Roman" w:cs="Times New Roman"/>
          <w:b/>
          <w:bCs/>
        </w:rPr>
      </w:pPr>
    </w:p>
    <w:p w14:paraId="1C8E6A0B" w14:textId="77777777" w:rsidR="00C953F9" w:rsidRDefault="00C953F9" w:rsidP="00C953F9">
      <w:pPr>
        <w:jc w:val="center"/>
        <w:rPr>
          <w:rFonts w:ascii="Times New Roman" w:hAnsi="Times New Roman" w:cs="Times New Roman"/>
          <w:b/>
          <w:bCs/>
        </w:rPr>
      </w:pPr>
    </w:p>
    <w:p w14:paraId="35EF2A85" w14:textId="77777777" w:rsidR="00C953F9" w:rsidRDefault="00C953F9" w:rsidP="00C953F9">
      <w:pPr>
        <w:jc w:val="center"/>
        <w:rPr>
          <w:rFonts w:ascii="Times New Roman" w:hAnsi="Times New Roman" w:cs="Times New Roman"/>
          <w:b/>
          <w:bCs/>
        </w:rPr>
      </w:pPr>
    </w:p>
    <w:p w14:paraId="66A7651F" w14:textId="1E86D6E7" w:rsidR="00C953F9" w:rsidRPr="00C953F9" w:rsidRDefault="00C953F9" w:rsidP="00C953F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953F9">
        <w:rPr>
          <w:rFonts w:ascii="Times New Roman" w:hAnsi="Times New Roman" w:cs="Times New Roman"/>
          <w:b/>
          <w:bCs/>
          <w:sz w:val="32"/>
          <w:szCs w:val="32"/>
        </w:rPr>
        <w:t>Zasady zwrotu środków transakcji płatniczych przekazanych na niewłaściwy rachunek</w:t>
      </w:r>
    </w:p>
    <w:p w14:paraId="4809128C" w14:textId="77777777" w:rsidR="00C953F9" w:rsidRPr="00C953F9" w:rsidRDefault="00C953F9" w:rsidP="00C953F9">
      <w:pPr>
        <w:rPr>
          <w:rFonts w:ascii="Times New Roman" w:hAnsi="Times New Roman" w:cs="Times New Roman"/>
        </w:rPr>
      </w:pPr>
    </w:p>
    <w:p w14:paraId="3EDF4F33" w14:textId="40D4ADE9" w:rsidR="00C953F9" w:rsidRDefault="00C953F9" w:rsidP="00C953F9">
      <w:pPr>
        <w:rPr>
          <w:rFonts w:ascii="Times New Roman" w:hAnsi="Times New Roman" w:cs="Times New Roman"/>
        </w:rPr>
      </w:pPr>
    </w:p>
    <w:p w14:paraId="2BF0E396" w14:textId="77777777" w:rsidR="00C953F9" w:rsidRDefault="00C953F9" w:rsidP="00C953F9">
      <w:pPr>
        <w:rPr>
          <w:rFonts w:ascii="Times New Roman" w:hAnsi="Times New Roman" w:cs="Times New Roman"/>
        </w:rPr>
      </w:pPr>
    </w:p>
    <w:p w14:paraId="6A96283F" w14:textId="77777777" w:rsidR="00C953F9" w:rsidRDefault="00C953F9" w:rsidP="00C953F9">
      <w:pPr>
        <w:rPr>
          <w:rFonts w:ascii="Times New Roman" w:hAnsi="Times New Roman" w:cs="Times New Roman"/>
        </w:rPr>
      </w:pPr>
    </w:p>
    <w:p w14:paraId="28067493" w14:textId="77777777" w:rsidR="00C953F9" w:rsidRDefault="00C953F9" w:rsidP="00C953F9">
      <w:pPr>
        <w:rPr>
          <w:rFonts w:ascii="Times New Roman" w:hAnsi="Times New Roman" w:cs="Times New Roman"/>
        </w:rPr>
      </w:pPr>
    </w:p>
    <w:p w14:paraId="601C55DC" w14:textId="77777777" w:rsidR="00C953F9" w:rsidRDefault="00C953F9" w:rsidP="00C953F9">
      <w:pPr>
        <w:rPr>
          <w:rFonts w:ascii="Times New Roman" w:hAnsi="Times New Roman" w:cs="Times New Roman"/>
        </w:rPr>
      </w:pPr>
    </w:p>
    <w:p w14:paraId="14E5C83B" w14:textId="77777777" w:rsidR="00C953F9" w:rsidRDefault="00C953F9" w:rsidP="00C953F9">
      <w:pPr>
        <w:rPr>
          <w:rFonts w:ascii="Times New Roman" w:hAnsi="Times New Roman" w:cs="Times New Roman"/>
        </w:rPr>
      </w:pPr>
    </w:p>
    <w:p w14:paraId="6851D4AB" w14:textId="77777777" w:rsidR="00C953F9" w:rsidRDefault="00C953F9" w:rsidP="00C953F9">
      <w:pPr>
        <w:rPr>
          <w:rFonts w:ascii="Times New Roman" w:hAnsi="Times New Roman" w:cs="Times New Roman"/>
        </w:rPr>
      </w:pPr>
    </w:p>
    <w:p w14:paraId="31237BA5" w14:textId="77777777" w:rsidR="00C953F9" w:rsidRDefault="00C953F9" w:rsidP="00C953F9">
      <w:pPr>
        <w:rPr>
          <w:rFonts w:ascii="Times New Roman" w:hAnsi="Times New Roman" w:cs="Times New Roman"/>
        </w:rPr>
      </w:pPr>
    </w:p>
    <w:p w14:paraId="1648301A" w14:textId="77777777" w:rsidR="00C953F9" w:rsidRDefault="00C953F9" w:rsidP="00C953F9">
      <w:pPr>
        <w:rPr>
          <w:rFonts w:ascii="Times New Roman" w:hAnsi="Times New Roman" w:cs="Times New Roman"/>
        </w:rPr>
      </w:pPr>
    </w:p>
    <w:p w14:paraId="7F89470D" w14:textId="77777777" w:rsidR="00C953F9" w:rsidRDefault="00C953F9" w:rsidP="00C953F9">
      <w:pPr>
        <w:rPr>
          <w:rFonts w:ascii="Times New Roman" w:hAnsi="Times New Roman" w:cs="Times New Roman"/>
        </w:rPr>
      </w:pPr>
    </w:p>
    <w:p w14:paraId="1CA9DFAD" w14:textId="77777777" w:rsidR="00C953F9" w:rsidRDefault="00C953F9" w:rsidP="00C953F9">
      <w:pPr>
        <w:rPr>
          <w:rFonts w:ascii="Times New Roman" w:hAnsi="Times New Roman" w:cs="Times New Roman"/>
        </w:rPr>
      </w:pPr>
    </w:p>
    <w:p w14:paraId="0425E7D0" w14:textId="77777777" w:rsidR="00C953F9" w:rsidRDefault="00C953F9" w:rsidP="00C953F9">
      <w:pPr>
        <w:rPr>
          <w:rFonts w:ascii="Times New Roman" w:hAnsi="Times New Roman" w:cs="Times New Roman"/>
        </w:rPr>
      </w:pPr>
    </w:p>
    <w:p w14:paraId="14FB0113" w14:textId="77777777" w:rsidR="00C953F9" w:rsidRDefault="00C953F9" w:rsidP="00C953F9">
      <w:pPr>
        <w:rPr>
          <w:rFonts w:ascii="Times New Roman" w:hAnsi="Times New Roman" w:cs="Times New Roman"/>
        </w:rPr>
      </w:pPr>
    </w:p>
    <w:p w14:paraId="45712A63" w14:textId="77777777" w:rsidR="00C953F9" w:rsidRDefault="00C953F9" w:rsidP="00C953F9">
      <w:pPr>
        <w:rPr>
          <w:rFonts w:ascii="Times New Roman" w:hAnsi="Times New Roman" w:cs="Times New Roman"/>
        </w:rPr>
      </w:pPr>
    </w:p>
    <w:p w14:paraId="41EA148C" w14:textId="03639D83" w:rsidR="00C953F9" w:rsidRPr="00C953F9" w:rsidRDefault="00C953F9" w:rsidP="00C953F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Ośno Lubuskie, sierpień 2026 r.</w:t>
      </w:r>
    </w:p>
    <w:p w14:paraId="17EE1CEA" w14:textId="79BF6617" w:rsidR="00C953F9" w:rsidRPr="00C953F9" w:rsidRDefault="00C953F9" w:rsidP="00C953F9">
      <w:pPr>
        <w:jc w:val="center"/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lastRenderedPageBreak/>
        <w:t>§ 1</w:t>
      </w:r>
    </w:p>
    <w:p w14:paraId="24D7F821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Instrukcja </w:t>
      </w:r>
      <w:r w:rsidRPr="00C953F9">
        <w:rPr>
          <w:rFonts w:ascii="Times New Roman" w:hAnsi="Times New Roman" w:cs="Times New Roman"/>
          <w:i/>
          <w:iCs/>
        </w:rPr>
        <w:t xml:space="preserve">Zasady zwrotu środków transakcji płatniczych przekazanych na niewłaściwy rachunek, </w:t>
      </w:r>
      <w:r w:rsidRPr="00C953F9">
        <w:rPr>
          <w:rFonts w:ascii="Times New Roman" w:hAnsi="Times New Roman" w:cs="Times New Roman"/>
        </w:rPr>
        <w:t xml:space="preserve">zwana dalej Instrukcją, określa zasady postępowania w przypadku dokonywania zwrotu środków osobom fizycznym, osobom prawnym oraz jednostkom organizacyjnym niebędącymi osobami prawnymi, którym ustawa przyznaje zdolność prawną, składającym zlecenie płatnicze na niewłaściwy rachunek. </w:t>
      </w:r>
    </w:p>
    <w:p w14:paraId="0C56C988" w14:textId="4C230C09" w:rsidR="00C953F9" w:rsidRPr="00C953F9" w:rsidRDefault="00C953F9" w:rsidP="00C953F9">
      <w:pPr>
        <w:jc w:val="center"/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>§2</w:t>
      </w:r>
    </w:p>
    <w:p w14:paraId="787E1B14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Przez użyte w Instrukcji określenia należy rozumieć: </w:t>
      </w:r>
    </w:p>
    <w:p w14:paraId="18E1C2B5" w14:textId="547CB168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>1) Bank –Bank Spółdzielczy</w:t>
      </w:r>
      <w:r>
        <w:rPr>
          <w:rFonts w:ascii="Times New Roman" w:hAnsi="Times New Roman" w:cs="Times New Roman"/>
        </w:rPr>
        <w:t xml:space="preserve"> w Ośnie Lubuskim</w:t>
      </w:r>
      <w:r w:rsidRPr="00C953F9">
        <w:rPr>
          <w:rFonts w:ascii="Times New Roman" w:hAnsi="Times New Roman" w:cs="Times New Roman"/>
        </w:rPr>
        <w:t xml:space="preserve">; </w:t>
      </w:r>
    </w:p>
    <w:p w14:paraId="27F757B9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2) Dostawca odbiorcy – dostawca usług płatniczych prowadzący działalność gospodarczą w zakresie świadczenia usługi odbierania transakcji płatniczej; </w:t>
      </w:r>
    </w:p>
    <w:p w14:paraId="56ED1000" w14:textId="12E8BAF8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>3) Dostawca płatnika –Bank Spółdzielczy</w:t>
      </w:r>
      <w:r>
        <w:rPr>
          <w:rFonts w:ascii="Times New Roman" w:hAnsi="Times New Roman" w:cs="Times New Roman"/>
        </w:rPr>
        <w:t xml:space="preserve"> w Ośnie Lubuskim</w:t>
      </w:r>
      <w:r w:rsidRPr="00C953F9">
        <w:rPr>
          <w:rFonts w:ascii="Times New Roman" w:hAnsi="Times New Roman" w:cs="Times New Roman"/>
        </w:rPr>
        <w:t xml:space="preserve">, dostawca usług płatniczych prowadzący działalność gospodarczą w zakresie świadczenia usługi inicjowania transakcji płatniczej; </w:t>
      </w:r>
    </w:p>
    <w:p w14:paraId="5F8BA7E4" w14:textId="3D263A31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>4) Placówka Banku – Oddział Banku Spółdzielczego</w:t>
      </w:r>
      <w:r>
        <w:rPr>
          <w:rFonts w:ascii="Times New Roman" w:hAnsi="Times New Roman" w:cs="Times New Roman"/>
        </w:rPr>
        <w:t xml:space="preserve"> w Ośnie Lubuskim</w:t>
      </w:r>
      <w:r w:rsidRPr="00C953F9">
        <w:rPr>
          <w:rFonts w:ascii="Times New Roman" w:hAnsi="Times New Roman" w:cs="Times New Roman"/>
        </w:rPr>
        <w:t xml:space="preserve">; </w:t>
      </w:r>
    </w:p>
    <w:p w14:paraId="0BB4B225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5) Płatnik – osoba fizyczna, osoba prawna oraz jednostka organizacyjna niebędąca osobą prawną, której ustawa przyznaje zdolność prawną, składająca zlecenie płatnicze; </w:t>
      </w:r>
    </w:p>
    <w:p w14:paraId="2E22E087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6) Odbiorca – osoba fizyczna, osoba prawna oraz jednostka organizacyjna niebędąca osobą prawną, której ustawa przyznaje zdolność prawną, będąca odbiorcą środków pieniężnych stanowiących przedmiot transakcji płatniczej; </w:t>
      </w:r>
    </w:p>
    <w:p w14:paraId="0B0C5F88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7) Unikatowy identyfikator – numer rachunku bankowego (NRB) lub inny unikatowy identyfikator uzgodniony przez strony w umowie; </w:t>
      </w:r>
    </w:p>
    <w:p w14:paraId="74B998A1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8) Rachunek zwrotu – nieoprocentowany rachunek techniczny dostawcy, na który jest dokonywany zwrot transakcji wykonanej z użyciem nieprawidłowego unikatowego identyfikatora; </w:t>
      </w:r>
    </w:p>
    <w:p w14:paraId="0F21497C" w14:textId="731256B0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9) Taryfa – </w:t>
      </w:r>
      <w:r w:rsidRPr="00C953F9">
        <w:rPr>
          <w:rFonts w:ascii="Times New Roman" w:hAnsi="Times New Roman" w:cs="Times New Roman"/>
          <w:i/>
          <w:iCs/>
        </w:rPr>
        <w:t xml:space="preserve">Taryfa opłat i prowizji bankowych Banku dla klientów indywidualnych </w:t>
      </w:r>
      <w:r w:rsidRPr="00C953F9">
        <w:rPr>
          <w:rFonts w:ascii="Times New Roman" w:hAnsi="Times New Roman" w:cs="Times New Roman"/>
        </w:rPr>
        <w:t xml:space="preserve">lub </w:t>
      </w:r>
      <w:r w:rsidRPr="00C953F9">
        <w:rPr>
          <w:rFonts w:ascii="Times New Roman" w:hAnsi="Times New Roman" w:cs="Times New Roman"/>
          <w:i/>
          <w:iCs/>
        </w:rPr>
        <w:t>Taryfa opłat i prowizji bankowych Banku dla klientów instytucjonalnych</w:t>
      </w:r>
      <w:r w:rsidRPr="00C953F9">
        <w:rPr>
          <w:rFonts w:ascii="Times New Roman" w:hAnsi="Times New Roman" w:cs="Times New Roman"/>
        </w:rPr>
        <w:t xml:space="preserve">; </w:t>
      </w:r>
    </w:p>
    <w:p w14:paraId="0B0CCA3B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10) Transakcja płatnicza – zainicjowana przez płatnika lub odbiorcę wpłata, transfer lub wypłata środków pieniężnych; </w:t>
      </w:r>
    </w:p>
    <w:p w14:paraId="04B6E50C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11) Zlecenie płatnicze – oświadczenie płatnika lub odbiorcy skierowane do jego dostawcy zawierające polecenie wykonania transakcji płatniczej. </w:t>
      </w:r>
    </w:p>
    <w:p w14:paraId="777DA5E4" w14:textId="77777777" w:rsidR="00C953F9" w:rsidRPr="00C953F9" w:rsidRDefault="00C953F9" w:rsidP="00C953F9">
      <w:pPr>
        <w:rPr>
          <w:rFonts w:ascii="Times New Roman" w:hAnsi="Times New Roman" w:cs="Times New Roman"/>
        </w:rPr>
      </w:pPr>
    </w:p>
    <w:p w14:paraId="2A52264C" w14:textId="357F03ED" w:rsidR="00C953F9" w:rsidRPr="00C953F9" w:rsidRDefault="00C953F9" w:rsidP="00C953F9">
      <w:pPr>
        <w:jc w:val="center"/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>§3</w:t>
      </w:r>
    </w:p>
    <w:p w14:paraId="2C93FEDD" w14:textId="77777777" w:rsidR="00C953F9" w:rsidRPr="00C953F9" w:rsidRDefault="00C953F9" w:rsidP="00C953F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Zlecenie płatnicze uznaje się za wykonane na rzecz właściwego odbiorcy, jeżeli zostało wykonane zgodnie z informacjami, które muszą być dostarczone przez płatnika, aby zlecenie płatnicze mogło zostać prawidłowo zainicjowane lub wykonane, a w przypadku wskazania w treści zlecenia płatniczego unikatowego identyfikatora – jeżeli zostało wykonane zgodnie z tym unikatowym identyfikatorem bez względu na dostarczone przez płatnika inne informacje dodatkowe. </w:t>
      </w:r>
    </w:p>
    <w:p w14:paraId="44A5222D" w14:textId="77777777" w:rsidR="00C953F9" w:rsidRPr="00C953F9" w:rsidRDefault="00C953F9" w:rsidP="00C953F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lastRenderedPageBreak/>
        <w:t xml:space="preserve">Jeżeli unikatowy identyfikator podany przez płatnika jest nieprawidłowy, dostawca płatnika nie ponosi odpowiedzialności za niewykonanie lub nienależyte wykonanie transakcji płatniczej. Dostawca płatnika, a w przypadku, gdy dostawca płatnika nie prowadzi rachunku płatniczego odbiorcy, również dostawca odbiorcy, podejmują działania w celu odzyskania kwoty transakcji płatniczej wykonanej z użyciem nieprawidłowego unikatowego identyfikatora, w szczególności w trybie i na zasadach określonych w art. 143a–143b ustawy o usługach płatniczych z dnia 19.08.2011 r. Dostawca płatnika ma prawo pobrać od płatnika opłatę za odzyskanie środków zgodnie z obowiązującą w Banku Taryfą. </w:t>
      </w:r>
    </w:p>
    <w:p w14:paraId="52E11A30" w14:textId="39FEBBAD" w:rsidR="00C953F9" w:rsidRPr="00C953F9" w:rsidRDefault="00C953F9" w:rsidP="00C953F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W celu wykonania obowiązku, o którym mowa w ust. 2, dostawca prowadzi </w:t>
      </w:r>
      <w:r>
        <w:rPr>
          <w:rFonts w:ascii="Times New Roman" w:hAnsi="Times New Roman" w:cs="Times New Roman"/>
        </w:rPr>
        <w:t>n</w:t>
      </w:r>
      <w:r w:rsidRPr="00C953F9">
        <w:rPr>
          <w:rFonts w:ascii="Times New Roman" w:hAnsi="Times New Roman" w:cs="Times New Roman"/>
        </w:rPr>
        <w:t xml:space="preserve">ieoprocentowany rachunek zwrotu. </w:t>
      </w:r>
    </w:p>
    <w:p w14:paraId="20B67C88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4. Przy wykonaniu transakcji płatniczych z wykorzystaniem rachunku bankowego unikatowym identyfikatorem jest numer rachunku bankowego, chyba że strony uzgodnią w umowie rachunku inny unikatowy identyfikator. </w:t>
      </w:r>
    </w:p>
    <w:p w14:paraId="13D41FC3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5. Płatnik dokonuje zgłoszenia składając Wniosek o zwrot transakcji płatniczej stanowiący Załącznik nr 1 do niniejszej Instrukcji w placówce Banku. </w:t>
      </w:r>
    </w:p>
    <w:p w14:paraId="4BD331B7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6. W celu odzyskania kwoty transakcji płatniczej wykonanej z użyciem nieprawidłowego unikatowego identyfikatora, dostawca płatnika, nie później niż w terminie 3 dni roboczych od dnia dokonania zgłoszenia przez płatnika informacji o transakcji płatniczej wykonanej z użyciem nieprawidłowego unikatowego identyfikatora, w przypadku gdy: </w:t>
      </w:r>
    </w:p>
    <w:p w14:paraId="002703F7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1) prowadzi rachunek płatniczy odbiorcy – pisemnie zawiadamia odbiorcę o: </w:t>
      </w:r>
    </w:p>
    <w:p w14:paraId="73CFBCF8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a) zgłoszeniu przez płatnika informacji o transakcji płatniczej wykonanej z użyciem nieprawidłowego unikatowego identyfikatora i możliwości dokonania zwrotu kwoty tej transakcji na rachunek zwrotu dostawcy odbiorcy bez pobierania od odbiorcy opłat; </w:t>
      </w:r>
    </w:p>
    <w:p w14:paraId="039176AD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b) obowiązku udostępnienia płatnikowi danych osobowych odbiorcy w celu umożliwienia dochodzenia zwrotu kwoty transakcji płatniczej wykonanej z użyciem nieprawidłowego unikatowego identyfikatora, jeżeli odbiorca nie dokona jej zwrotu w terminie 30 dni od dnia dokonania zgłoszenia, </w:t>
      </w:r>
    </w:p>
    <w:p w14:paraId="7E828104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c) dniu upływu terminu, o którym mowa w ust. 6 pkt 1) lit b); </w:t>
      </w:r>
    </w:p>
    <w:p w14:paraId="6F9C832A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d) numerze rachunku zwrotu; </w:t>
      </w:r>
    </w:p>
    <w:p w14:paraId="6260E741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2) nie prowadzi rachunku płatniczego odbiorcy – zwraca się do dostawcy odbiorcy o podjęcie działań w celu odzyskania kwoty transakcji płatniczej wykonanej z użyciem nieprawidłowego unikatowego identyfikatora, przekazując jednocześnie posiadane informacje niezbędne do ich podjęcia. </w:t>
      </w:r>
    </w:p>
    <w:p w14:paraId="3A949256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7. W przypadku, o którym mowa w ust. 6 pkt 2), w celu wykonania obowiązku, o którym mowa w ust. 2 zdanie drugie, przez dostawcę odbiorcy, przepis ust. 6 stosuje się odpowiednio. </w:t>
      </w:r>
    </w:p>
    <w:p w14:paraId="70BED265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8. Odbiorca dokonuje zwrotu kwoty transakcji płatniczej wykonanej z użyciem nieprawidłowego unikatowego identyfikatora na rachunek zwrotu dostawcy odbiorcy. Za dokonanie zwrotu dostawca odbiorcy nie pobiera od odbiorcy opłat ani prowizji. </w:t>
      </w:r>
    </w:p>
    <w:p w14:paraId="639A4EC5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9. Jeżeli dostawca płatnika prowadzi rachunek płatniczy odbiorcy, a odbiorca dokonał zwrotu kwoty transakcji płatniczej wykonanej z użyciem nieprawidłowego unikatowego identyfikatora, dostawca płatnika, nie później niż w terminie 1 dnia roboczego od uznania rachunku zwrotu kwotą transakcji </w:t>
      </w:r>
      <w:r w:rsidRPr="00C953F9">
        <w:rPr>
          <w:rFonts w:ascii="Times New Roman" w:hAnsi="Times New Roman" w:cs="Times New Roman"/>
        </w:rPr>
        <w:lastRenderedPageBreak/>
        <w:t xml:space="preserve">płatniczej wykonanej z użyciem nieprawidłowego unikatowego identyfikatora, doprowadza do uznania tą kwotą rachunku płatniczego płatnika, który został nią obciążony. </w:t>
      </w:r>
    </w:p>
    <w:p w14:paraId="31CCD2EE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10. Jeżeli dostawca płatnika nie prowadzi rachunku płatniczego odbiorcy, a odbiorca dokonał zwrotu kwoty transakcji płatniczej wykonanej z użyciem nieprawidłowego unikatowego identyfikatora, dostawca odbiorcy, nie później niż w terminie 1 dnia roboczego od uznania prowadzonego przez siebie rachunku zwrotu, doprowadza do uznania rachunku zwrotu dostawcy płatnika, kwotą transakcji płatniczej wykonanej z użyciem nieprawidłowego unikatowego identyfikatora, a następnie dostawca płatnika nie później niż w terminie 1 dnia roboczego od uznania prowadzonego przez siebie rachunku zwrotu uznaje tą kwotą rachunek płatniczy płatnika, o którym mowa w ust. 9. </w:t>
      </w:r>
    </w:p>
    <w:p w14:paraId="19C4B580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11. Jeżeli doprowadzenie do uznania rachunku płatniczego płatnika, o którym mowa w ust. 9 i 10, nie jest możliwe, dostawca płatnika, nie później niż w terminie 3 dni roboczych od uznania rachunku zwrotu, informuje płatnika o możliwości zwrotu kwoty transakcji płatniczej wykonanej z użyciem nieprawidłowego unikatowego identyfikatora na wskazany przez płatnika numer rachunku płatniczego lub poprzez dokonanie wypłaty środków pieniężnych. </w:t>
      </w:r>
    </w:p>
    <w:p w14:paraId="6F2B3F6C" w14:textId="0A756643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12. Jeżeli płatnik wskazał numer rachunku płatniczego, o którym mowa w ust. 11, dostawca płatnika, nie później niż w terminie 1 dnia roboczego od jego wskazania, doprowadza do uznania tego rachunku kwotą transakcji płatniczej wykonanej z użyciem nieprawidłowego unikatowego identyfikatora. Jeżeli płatnik nie wskazał numeru rachunku płatniczego, wypłata środków pieniężnych następuje niezwłocznie na żądanie płatnika. </w:t>
      </w:r>
    </w:p>
    <w:p w14:paraId="692CFC41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13. Jeżeli działania, o których mowa w ust. 6-12, w terminie 30 dni od dnia dokonania zgłoszenia, o którym mowa w ust. 6, nie doprowadziły do odzyskania kwoty transakcji płatniczej wykonanej z użyciem nieprawidłowego unikatowego identyfikatora, nie później niż w terminie 3 dni roboczych od dnia otrzymania pisemnego żądania płatnika o udostępnienie danych odbiorcy, dostawca płatnika: </w:t>
      </w:r>
    </w:p>
    <w:p w14:paraId="7DD64AB6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1) który prowadzi rachunek płatniczy odbiorcy, udostępnia płatnikowi: </w:t>
      </w:r>
    </w:p>
    <w:p w14:paraId="20FD270C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a) imię i nazwisko lub nazwę odbiorcy, </w:t>
      </w:r>
    </w:p>
    <w:p w14:paraId="2ACFC5D0" w14:textId="77777777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b) miejsce zamieszkania i adres albo siedzibę i adres odbiorcy, </w:t>
      </w:r>
    </w:p>
    <w:p w14:paraId="63658AD9" w14:textId="53F3C98D" w:rsidR="00C953F9" w:rsidRPr="00C953F9" w:rsidRDefault="00C953F9" w:rsidP="00C953F9">
      <w:pPr>
        <w:rPr>
          <w:rFonts w:ascii="Times New Roman" w:hAnsi="Times New Roman" w:cs="Times New Roman"/>
        </w:rPr>
      </w:pPr>
      <w:r w:rsidRPr="00C953F9">
        <w:rPr>
          <w:rFonts w:ascii="Times New Roman" w:hAnsi="Times New Roman" w:cs="Times New Roman"/>
        </w:rPr>
        <w:t xml:space="preserve">2) który nie prowadzi rachunku płatniczego odbiorcy – zwraca się do dostawcy odbiorcy o przekazanie mu danych, o których mowa w pkt 1 </w:t>
      </w:r>
      <w:r w:rsidR="00A81E5A">
        <w:rPr>
          <w:rFonts w:ascii="Times New Roman" w:hAnsi="Times New Roman" w:cs="Times New Roman"/>
        </w:rPr>
        <w:t xml:space="preserve">( załącznik nr 2) </w:t>
      </w:r>
      <w:r w:rsidRPr="00C953F9">
        <w:rPr>
          <w:rFonts w:ascii="Times New Roman" w:hAnsi="Times New Roman" w:cs="Times New Roman"/>
        </w:rPr>
        <w:t xml:space="preserve">– w celu umożliwienia płatnikowi dochodzenia kwoty transakcji płatniczej wykonanej z użyciem nieprawidłowego unikatowego identyfikatora. </w:t>
      </w:r>
    </w:p>
    <w:p w14:paraId="498C9E31" w14:textId="2012AA2F" w:rsidR="00C953F9" w:rsidRPr="00A17181" w:rsidRDefault="00C953F9" w:rsidP="00A17181">
      <w:pPr>
        <w:pStyle w:val="Akapitzlist"/>
        <w:numPr>
          <w:ilvl w:val="0"/>
          <w:numId w:val="3"/>
        </w:numPr>
        <w:ind w:left="0" w:firstLine="0"/>
        <w:rPr>
          <w:rFonts w:ascii="Times New Roman" w:hAnsi="Times New Roman" w:cs="Times New Roman"/>
        </w:rPr>
      </w:pPr>
      <w:r w:rsidRPr="00A17181">
        <w:rPr>
          <w:rFonts w:ascii="Times New Roman" w:hAnsi="Times New Roman" w:cs="Times New Roman"/>
        </w:rPr>
        <w:t xml:space="preserve">W przypadku, o którym mowa w ust. 13 pkt 2, dostawca odbiorcy przekazuje dostawcy płatnika dane, o których mowa w ust. 13 pkt 1, nie później niż w terminie 3 dni roboczych od dnia otrzymania żądania. Dostawca płatnika przekazuje otrzymane dane płatnikowi nie później niż w terminie 3 dni roboczych od dnia ich otrzymania. </w:t>
      </w:r>
    </w:p>
    <w:p w14:paraId="73D7DF6D" w14:textId="77777777" w:rsidR="004C6006" w:rsidRPr="00C953F9" w:rsidRDefault="004C6006">
      <w:pPr>
        <w:rPr>
          <w:rFonts w:ascii="Times New Roman" w:hAnsi="Times New Roman" w:cs="Times New Roman"/>
        </w:rPr>
      </w:pPr>
    </w:p>
    <w:sectPr w:rsidR="004C6006" w:rsidRPr="00C953F9" w:rsidSect="00C953F9">
      <w:pgSz w:w="11906" w:h="17338"/>
      <w:pgMar w:top="1440" w:right="849" w:bottom="1440" w:left="1080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B794BD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8E9BE6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BAC03B4"/>
    <w:multiLevelType w:val="hybridMultilevel"/>
    <w:tmpl w:val="E70E809C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934977">
    <w:abstractNumId w:val="0"/>
  </w:num>
  <w:num w:numId="2" w16cid:durableId="1397705601">
    <w:abstractNumId w:val="1"/>
  </w:num>
  <w:num w:numId="3" w16cid:durableId="2075158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111"/>
    <w:rsid w:val="000577F4"/>
    <w:rsid w:val="004C6006"/>
    <w:rsid w:val="00801C8E"/>
    <w:rsid w:val="00A17181"/>
    <w:rsid w:val="00A20111"/>
    <w:rsid w:val="00A81E5A"/>
    <w:rsid w:val="00C953F9"/>
    <w:rsid w:val="00D7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C94A"/>
  <w15:chartTrackingRefBased/>
  <w15:docId w15:val="{F3990D4B-69D1-40A3-9C95-3AABD79C3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20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0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01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0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01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01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01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01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01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01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01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01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01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01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01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01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01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01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01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0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01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0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0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01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01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01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01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01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01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1231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Czajkowska</dc:creator>
  <cp:keywords/>
  <dc:description/>
  <cp:lastModifiedBy>Agnieszka Czajkowska</cp:lastModifiedBy>
  <cp:revision>3</cp:revision>
  <dcterms:created xsi:type="dcterms:W3CDTF">2026-08-27T08:52:00Z</dcterms:created>
  <dcterms:modified xsi:type="dcterms:W3CDTF">2026-08-31T08:40:00Z</dcterms:modified>
</cp:coreProperties>
</file>